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D5A1C">
      <w:pPr>
        <w:keepNext/>
        <w:keepLines/>
        <w:widowControl w:val="0"/>
        <w:spacing w:before="200" w:after="200"/>
        <w:jc w:val="center"/>
        <w:outlineLvl w:val="0"/>
        <w:rPr>
          <w:rFonts w:hint="eastAsia" w:ascii="宋体" w:hAnsi="宋体" w:eastAsia="宋体" w:cs="宋体"/>
          <w:b/>
          <w:bCs/>
          <w:color w:val="auto"/>
          <w:sz w:val="44"/>
          <w:szCs w:val="40"/>
        </w:rPr>
      </w:pPr>
      <w:bookmarkStart w:id="1" w:name="_GoBack"/>
      <w:r>
        <w:rPr>
          <w:rFonts w:hint="eastAsia" w:ascii="宋体" w:hAnsi="宋体" w:eastAsia="宋体" w:cs="宋体"/>
          <w:b/>
          <w:bCs/>
          <w:color w:val="auto"/>
          <w:sz w:val="44"/>
          <w:szCs w:val="40"/>
        </w:rPr>
        <w:t>第四章  采购需求</w:t>
      </w:r>
    </w:p>
    <w:p w14:paraId="16AF3C9E">
      <w:pPr>
        <w:keepNext w:val="0"/>
        <w:keepLines w:val="0"/>
        <w:pageBreakBefore w:val="0"/>
        <w:widowControl w:val="0"/>
        <w:numPr>
          <w:ilvl w:val="0"/>
          <w:numId w:val="0"/>
        </w:numPr>
        <w:spacing w:line="360" w:lineRule="auto"/>
        <w:ind w:left="480" w:leftChars="0" w:right="0"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项目属性：服务类项目</w:t>
      </w:r>
    </w:p>
    <w:p w14:paraId="272E35BA">
      <w:pPr>
        <w:keepNext w:val="0"/>
        <w:keepLines w:val="0"/>
        <w:pageBreakBefore w:val="0"/>
        <w:widowControl w:val="0"/>
        <w:spacing w:line="360" w:lineRule="auto"/>
        <w:ind w:left="0" w:right="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本项目采购标的对应的中小企业划分标准所属行业：</w:t>
      </w:r>
      <w:r>
        <w:rPr>
          <w:rFonts w:hint="eastAsia" w:ascii="宋体" w:hAnsi="宋体" w:eastAsia="宋体" w:cs="宋体"/>
          <w:color w:val="auto"/>
          <w:kern w:val="0"/>
          <w:sz w:val="24"/>
          <w:szCs w:val="24"/>
          <w:highlight w:val="none"/>
          <w:u w:val="single"/>
          <w:lang w:val="en-US" w:eastAsia="zh-CN"/>
        </w:rPr>
        <w:t xml:space="preserve"> 其它未列明行业 。</w:t>
      </w:r>
    </w:p>
    <w:p w14:paraId="6C67C43A">
      <w:pPr>
        <w:keepNext w:val="0"/>
        <w:keepLines w:val="0"/>
        <w:pageBreakBefore w:val="0"/>
        <w:widowControl w:val="0"/>
        <w:spacing w:line="360" w:lineRule="auto"/>
        <w:ind w:left="0" w:right="0" w:firstLine="480"/>
        <w:rPr>
          <w:rFonts w:hint="eastAsia" w:ascii="宋体" w:hAnsi="宋体" w:eastAsia="宋体" w:cs="Times New Roman"/>
          <w:b/>
          <w:color w:val="auto"/>
          <w:kern w:val="0"/>
          <w:sz w:val="24"/>
          <w:szCs w:val="24"/>
          <w:highlight w:val="none"/>
        </w:rPr>
      </w:pPr>
      <w:r>
        <w:rPr>
          <w:rFonts w:hint="eastAsia" w:ascii="宋体" w:hAnsi="宋体" w:eastAsia="宋体" w:cs="宋体"/>
          <w:color w:val="auto"/>
          <w:kern w:val="0"/>
          <w:sz w:val="24"/>
          <w:szCs w:val="24"/>
          <w:highlight w:val="none"/>
          <w:lang w:val="en-US" w:eastAsia="zh-CN"/>
        </w:rPr>
        <w:t>本项目不接受进口产品。</w:t>
      </w:r>
    </w:p>
    <w:p w14:paraId="36B71367">
      <w:pPr>
        <w:widowControl w:val="0"/>
        <w:spacing w:line="440" w:lineRule="exact"/>
        <w:ind w:firstLine="482" w:firstLineChars="2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一、项目概况：</w:t>
      </w:r>
    </w:p>
    <w:p w14:paraId="116E8D75">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为沭阳县残疾人居家托养服务采购项目，是通过政府购买服务，由中标供应商依托沭阳县残联智慧托养线上平台及服务APP，开展线上服务和线下居家上门服务，拟计划为县域内智力、精神和重度肢体残疾人（约600名，具体以实际人数为准）提供生活照料、家政服务、康复医疗等居家照护服务。</w:t>
      </w:r>
    </w:p>
    <w:p w14:paraId="29341AE7">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本项目预算价：144万元。</w:t>
      </w:r>
    </w:p>
    <w:p w14:paraId="014139DA">
      <w:pPr>
        <w:widowControl w:val="0"/>
        <w:spacing w:line="440" w:lineRule="exact"/>
        <w:ind w:firstLine="482" w:firstLineChars="2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二、指导思想：</w:t>
      </w:r>
    </w:p>
    <w:p w14:paraId="05951E6D">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以党的十九大精神和习近平新时代中国特色社会主义思想为指导，以改善重度智力、精神和肢体残疾人生存发展条件、促进残疾人共享经济社会发展成果为目标，以不断满足残疾人托养康复服务基本需求、完善托养康复服务功能、提高托养康复服务水平为重点，坚持政府投入为主、鼓励引导社会力量参与，保障残疾人得到“人性化”照料，减轻家庭供养人的经济负担和精神压力，满足残疾人居家托养康复服务基本需求。</w:t>
      </w:r>
    </w:p>
    <w:p w14:paraId="4BA7C5A6">
      <w:pPr>
        <w:widowControl w:val="0"/>
        <w:spacing w:line="440" w:lineRule="exact"/>
        <w:ind w:firstLine="482" w:firstLineChars="2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三、基本原则：</w:t>
      </w:r>
    </w:p>
    <w:p w14:paraId="559E421A">
      <w:pPr>
        <w:widowControl w:val="0"/>
        <w:spacing w:line="44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以人为本，关注民生，着力改善残疾人健康状况；政府引导，社会参与，因地制宜地推动任务目标和政策措施的落实；立足当前，着眼长远，缓解当前托养康复服务供需矛盾与建立长效机制相结合；健全制度，严格管理，确保项目实施公开公正，资金使用安全有效。</w:t>
      </w:r>
    </w:p>
    <w:p w14:paraId="0DC86E5A">
      <w:pPr>
        <w:widowControl w:val="0"/>
        <w:spacing w:line="440" w:lineRule="exact"/>
        <w:ind w:firstLine="482" w:firstLineChars="2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四、服务对象及标准：</w:t>
      </w:r>
    </w:p>
    <w:p w14:paraId="66707029">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残疾人居家托养服务对象需同时具备以下条件：</w:t>
      </w:r>
    </w:p>
    <w:p w14:paraId="5B6C231D">
      <w:pPr>
        <w:widowControl w:val="0"/>
        <w:numPr>
          <w:ilvl w:val="0"/>
          <w:numId w:val="1"/>
        </w:numPr>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本县户籍、持有有效的《中华人民共和国残疾人证》的智力残疾或病情较为稳定的精神残疾人和重度肢体困难残疾人（含多重残疾人）；</w:t>
      </w:r>
    </w:p>
    <w:p w14:paraId="054D54D7">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2、年龄在 16～59周岁（含 16 和59周岁）；</w:t>
      </w:r>
    </w:p>
    <w:p w14:paraId="435D0C33">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3、生活自理能力、社会适应能力、生产劳动能力弱；</w:t>
      </w:r>
    </w:p>
    <w:p w14:paraId="6E475E69">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4、本人和家庭有托养护理服务需求。</w:t>
      </w:r>
    </w:p>
    <w:p w14:paraId="7B2CD109">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依托居家托养服务机构或组织，为居住在家庭中且生活自理困难的智力、精神和重度肢体困难残疾人，上门提供基本生活照料、家政服务、室外活动照料服务、心理疏导服务等方面服务。</w:t>
      </w:r>
    </w:p>
    <w:p w14:paraId="06A186EF">
      <w:pPr>
        <w:widowControl w:val="0"/>
        <w:spacing w:line="440" w:lineRule="exact"/>
        <w:ind w:firstLine="482" w:firstLineChars="2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五、服务标准及时间：</w:t>
      </w:r>
    </w:p>
    <w:p w14:paraId="5D63C19E">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项目服务时间为1年，自合同签订之日起计。</w:t>
      </w:r>
    </w:p>
    <w:p w14:paraId="0B5D067C">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服务费：最高限价为144万元，不接受高于此限价的投标。其中居家服务费用为200元/人/月（每月服务次数不少于3次，累计总体服务时长每月不低于3小时）。</w:t>
      </w:r>
    </w:p>
    <w:p w14:paraId="5AFACD53">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备注:上述服务频率及服务时间为最低要求，对于因服务对象客观原因(去世、搬迁)及主观原因(乙方多次与不服务对象沟通，仍不愿意接受服务)无法继续服务的，双方约定可采取替换机制，甲方有义务将满足招标文件要求的新增服务对象及时提供给乙方，合同履行期限内甲方不保证乙方最终实际服务人数。最终结算时如同一服务对象的服务频率(或服务时间)不满足招标文件要求的，按实际服务情况扣减该服务对象的服务费用，服务频率(或服务时间)超过招标文件要求的增值服务不予支付，特此说明。</w:t>
      </w:r>
    </w:p>
    <w:p w14:paraId="3A451AC5">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提供线上服务与线下服务相结合，中标供应商依托沭阳县残联智慧托养平台及服务APP，包含具备紧急救援和呼叫服务、残疾人基本信息和健康档案管理、服务管理、账户管理、回访管理、评价考核等功能。</w:t>
      </w:r>
    </w:p>
    <w:p w14:paraId="62B72B32">
      <w:pPr>
        <w:widowControl w:val="0"/>
        <w:spacing w:line="440" w:lineRule="exact"/>
        <w:ind w:firstLine="482" w:firstLineChars="2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六、居家托养服务明细及标准：</w:t>
      </w:r>
    </w:p>
    <w:tbl>
      <w:tblPr>
        <w:tblStyle w:val="2"/>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568"/>
        <w:gridCol w:w="6795"/>
      </w:tblGrid>
      <w:tr w14:paraId="5B78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03" w:type="dxa"/>
            <w:noWrap w:val="0"/>
            <w:vAlign w:val="center"/>
          </w:tcPr>
          <w:p w14:paraId="1327C853">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服务类型</w:t>
            </w:r>
          </w:p>
        </w:tc>
        <w:tc>
          <w:tcPr>
            <w:tcW w:w="1568" w:type="dxa"/>
            <w:noWrap w:val="0"/>
            <w:vAlign w:val="center"/>
          </w:tcPr>
          <w:p w14:paraId="210D2288">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服务项目</w:t>
            </w:r>
          </w:p>
        </w:tc>
        <w:tc>
          <w:tcPr>
            <w:tcW w:w="6795" w:type="dxa"/>
            <w:noWrap w:val="0"/>
            <w:vAlign w:val="center"/>
          </w:tcPr>
          <w:p w14:paraId="699404B0">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服务标准</w:t>
            </w:r>
          </w:p>
        </w:tc>
      </w:tr>
      <w:tr w14:paraId="3D03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7" w:hRule="atLeast"/>
          <w:jc w:val="center"/>
        </w:trPr>
        <w:tc>
          <w:tcPr>
            <w:tcW w:w="1203" w:type="dxa"/>
            <w:vMerge w:val="restart"/>
            <w:noWrap w:val="0"/>
            <w:vAlign w:val="center"/>
          </w:tcPr>
          <w:p w14:paraId="748C6507">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平台服务</w:t>
            </w:r>
          </w:p>
        </w:tc>
        <w:tc>
          <w:tcPr>
            <w:tcW w:w="1568" w:type="dxa"/>
            <w:noWrap w:val="0"/>
            <w:vAlign w:val="center"/>
          </w:tcPr>
          <w:p w14:paraId="25FD1DED">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残疾人检查、评估、建档</w:t>
            </w:r>
          </w:p>
        </w:tc>
        <w:tc>
          <w:tcPr>
            <w:tcW w:w="6795" w:type="dxa"/>
            <w:noWrap w:val="0"/>
            <w:vAlign w:val="center"/>
          </w:tcPr>
          <w:p w14:paraId="0C8E9FD8">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建立残疾人居家托养康复服务档案，内容包括残疾人信息、服务协议、服务记录等资料。为残疾人实施免费体检服务，优先为残疾人就诊，提供陪同就医，协助联系上级医院进行转诊服务。</w:t>
            </w:r>
          </w:p>
        </w:tc>
      </w:tr>
      <w:tr w14:paraId="0B6F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203" w:type="dxa"/>
            <w:vMerge w:val="continue"/>
            <w:noWrap w:val="0"/>
            <w:vAlign w:val="center"/>
          </w:tcPr>
          <w:p w14:paraId="7ED3ACA9">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restart"/>
            <w:noWrap w:val="0"/>
            <w:vAlign w:val="center"/>
          </w:tcPr>
          <w:p w14:paraId="57868BE7">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线上平台服务</w:t>
            </w:r>
          </w:p>
        </w:tc>
        <w:tc>
          <w:tcPr>
            <w:tcW w:w="6795" w:type="dxa"/>
            <w:noWrap w:val="0"/>
            <w:vAlign w:val="center"/>
          </w:tcPr>
          <w:p w14:paraId="2CC33975">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依托沭阳县残联智慧托养平台及服务APP，提供包含具备紧急救援和24小时呼叫服务、残疾人基本信息和健康档案管理、服务管理、账户管理、回访管理、评价考核等功能。</w:t>
            </w:r>
          </w:p>
        </w:tc>
      </w:tr>
      <w:tr w14:paraId="6826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1203" w:type="dxa"/>
            <w:vMerge w:val="restart"/>
            <w:shd w:val="clear" w:color="000000" w:fill="FFFFFF"/>
            <w:noWrap w:val="0"/>
            <w:vAlign w:val="center"/>
          </w:tcPr>
          <w:p w14:paraId="35E4A307">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生活</w:t>
            </w:r>
          </w:p>
          <w:p w14:paraId="2C01549F">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照料</w:t>
            </w:r>
          </w:p>
          <w:p w14:paraId="220C3D1E">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w:t>
            </w:r>
          </w:p>
        </w:tc>
        <w:tc>
          <w:tcPr>
            <w:tcW w:w="1568" w:type="dxa"/>
            <w:vMerge w:val="restart"/>
            <w:shd w:val="clear" w:color="000000" w:fill="FFFFFF"/>
            <w:noWrap w:val="0"/>
            <w:vAlign w:val="center"/>
          </w:tcPr>
          <w:p w14:paraId="1F858816">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保洁服务</w:t>
            </w:r>
          </w:p>
        </w:tc>
        <w:tc>
          <w:tcPr>
            <w:tcW w:w="6795" w:type="dxa"/>
            <w:shd w:val="clear" w:color="000000" w:fill="FFFFFF"/>
            <w:noWrap w:val="0"/>
            <w:vAlign w:val="center"/>
          </w:tcPr>
          <w:p w14:paraId="0877A810">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保持卧室、厨房、卫生间等居室内部整洁，物具清洁。</w:t>
            </w:r>
          </w:p>
        </w:tc>
      </w:tr>
      <w:tr w14:paraId="5AFA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3" w:type="dxa"/>
            <w:vMerge w:val="continue"/>
            <w:shd w:val="clear" w:color="000000" w:fill="FFFFFF"/>
            <w:noWrap w:val="0"/>
            <w:vAlign w:val="center"/>
          </w:tcPr>
          <w:p w14:paraId="08F0E62D">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continue"/>
            <w:shd w:val="clear" w:color="000000" w:fill="FFFFFF"/>
            <w:noWrap w:val="0"/>
            <w:vAlign w:val="center"/>
          </w:tcPr>
          <w:p w14:paraId="4EF8F789">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6795" w:type="dxa"/>
            <w:shd w:val="clear" w:color="000000" w:fill="FFFFFF"/>
            <w:noWrap w:val="0"/>
            <w:vAlign w:val="center"/>
          </w:tcPr>
          <w:p w14:paraId="1B52EB6F">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保洁用具应及时清洗，保持清洁。</w:t>
            </w:r>
          </w:p>
        </w:tc>
      </w:tr>
      <w:tr w14:paraId="5171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1203" w:type="dxa"/>
            <w:vMerge w:val="continue"/>
            <w:shd w:val="clear" w:color="000000" w:fill="FFFFFF"/>
            <w:noWrap w:val="0"/>
            <w:vAlign w:val="center"/>
          </w:tcPr>
          <w:p w14:paraId="48EAFC72">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continue"/>
            <w:shd w:val="clear" w:color="000000" w:fill="FFFFFF"/>
            <w:noWrap w:val="0"/>
            <w:vAlign w:val="center"/>
          </w:tcPr>
          <w:p w14:paraId="6A61EBA8">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6795" w:type="dxa"/>
            <w:shd w:val="clear" w:color="000000" w:fill="FFFFFF"/>
            <w:noWrap w:val="0"/>
            <w:vAlign w:val="center"/>
          </w:tcPr>
          <w:p w14:paraId="500CD910">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个人卫生应协助到位，容貌整洁、衣着适度、洗发理发、指(趾)甲整洁、无异味等。</w:t>
            </w:r>
          </w:p>
        </w:tc>
      </w:tr>
      <w:tr w14:paraId="1E3E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1203" w:type="dxa"/>
            <w:vMerge w:val="continue"/>
            <w:shd w:val="clear" w:color="000000" w:fill="FFFFFF"/>
            <w:noWrap w:val="0"/>
            <w:vAlign w:val="center"/>
          </w:tcPr>
          <w:p w14:paraId="0D3DCDFA">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restart"/>
            <w:shd w:val="clear" w:color="000000" w:fill="FFFFFF"/>
            <w:noWrap w:val="0"/>
            <w:vAlign w:val="center"/>
          </w:tcPr>
          <w:p w14:paraId="329DA52D">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洗涤服务</w:t>
            </w:r>
          </w:p>
        </w:tc>
        <w:tc>
          <w:tcPr>
            <w:tcW w:w="6795" w:type="dxa"/>
            <w:shd w:val="clear" w:color="000000" w:fill="FFFFFF"/>
            <w:noWrap w:val="0"/>
            <w:vAlign w:val="center"/>
          </w:tcPr>
          <w:p w14:paraId="36EA2877">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定期翻晒、更换床上用品，保持床铺清洁、平整。</w:t>
            </w:r>
          </w:p>
        </w:tc>
      </w:tr>
      <w:tr w14:paraId="1539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3" w:type="dxa"/>
            <w:vMerge w:val="continue"/>
            <w:shd w:val="clear" w:color="000000" w:fill="FFFFFF"/>
            <w:noWrap w:val="0"/>
            <w:vAlign w:val="center"/>
          </w:tcPr>
          <w:p w14:paraId="66616573">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continue"/>
            <w:shd w:val="clear" w:color="000000" w:fill="FFFFFF"/>
            <w:noWrap w:val="0"/>
            <w:vAlign w:val="center"/>
          </w:tcPr>
          <w:p w14:paraId="46B1978B">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6795" w:type="dxa"/>
            <w:shd w:val="clear" w:color="000000" w:fill="FFFFFF"/>
            <w:noWrap w:val="0"/>
            <w:vAlign w:val="center"/>
          </w:tcPr>
          <w:p w14:paraId="64550577">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上门洗涤应分类洗涤衣物并做到洗净、晾晒。</w:t>
            </w:r>
          </w:p>
        </w:tc>
      </w:tr>
      <w:tr w14:paraId="5F5E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3" w:type="dxa"/>
            <w:vMerge w:val="continue"/>
            <w:shd w:val="clear" w:color="000000" w:fill="FFFFFF"/>
            <w:noWrap w:val="0"/>
            <w:vAlign w:val="center"/>
          </w:tcPr>
          <w:p w14:paraId="63132674">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restart"/>
            <w:shd w:val="clear" w:color="000000" w:fill="FFFFFF"/>
            <w:noWrap w:val="0"/>
            <w:vAlign w:val="center"/>
          </w:tcPr>
          <w:p w14:paraId="50D0CD34">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配（助）餐服务</w:t>
            </w:r>
          </w:p>
        </w:tc>
        <w:tc>
          <w:tcPr>
            <w:tcW w:w="6795" w:type="dxa"/>
            <w:shd w:val="clear" w:color="000000" w:fill="FFFFFF"/>
            <w:noWrap w:val="0"/>
            <w:vAlign w:val="center"/>
          </w:tcPr>
          <w:p w14:paraId="03DCD5C8">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应具备家庭餐饮的基本知识，能正确使用厨具、炊具、餐具，并清洗和按时消毒。</w:t>
            </w:r>
          </w:p>
        </w:tc>
      </w:tr>
      <w:tr w14:paraId="2B2D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3" w:type="dxa"/>
            <w:vMerge w:val="continue"/>
            <w:shd w:val="clear" w:color="000000" w:fill="FFFFFF"/>
            <w:noWrap w:val="0"/>
            <w:vAlign w:val="center"/>
          </w:tcPr>
          <w:p w14:paraId="1CA41529">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continue"/>
            <w:shd w:val="clear" w:color="000000" w:fill="FFFFFF"/>
            <w:noWrap w:val="0"/>
            <w:vAlign w:val="center"/>
          </w:tcPr>
          <w:p w14:paraId="212C8D80">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6795" w:type="dxa"/>
            <w:shd w:val="clear" w:color="000000" w:fill="FFFFFF"/>
            <w:noWrap w:val="0"/>
            <w:vAlign w:val="center"/>
          </w:tcPr>
          <w:p w14:paraId="041280C6">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能根据服务对象的需求按食谱配送餐。</w:t>
            </w:r>
          </w:p>
        </w:tc>
      </w:tr>
      <w:tr w14:paraId="6645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203" w:type="dxa"/>
            <w:vMerge w:val="continue"/>
            <w:shd w:val="clear" w:color="000000" w:fill="FFFFFF"/>
            <w:noWrap w:val="0"/>
            <w:vAlign w:val="center"/>
          </w:tcPr>
          <w:p w14:paraId="67368A75">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restart"/>
            <w:shd w:val="clear" w:color="000000" w:fill="FFFFFF"/>
            <w:noWrap w:val="0"/>
            <w:vAlign w:val="center"/>
          </w:tcPr>
          <w:p w14:paraId="518BC819">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助浴服务</w:t>
            </w:r>
          </w:p>
        </w:tc>
        <w:tc>
          <w:tcPr>
            <w:tcW w:w="6795" w:type="dxa"/>
            <w:shd w:val="clear" w:color="000000" w:fill="FFFFFF"/>
            <w:noWrap w:val="0"/>
            <w:vAlign w:val="center"/>
          </w:tcPr>
          <w:p w14:paraId="04E27714">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助浴前应进行安全提示。</w:t>
            </w:r>
          </w:p>
        </w:tc>
      </w:tr>
      <w:tr w14:paraId="1238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3" w:type="dxa"/>
            <w:vMerge w:val="continue"/>
            <w:shd w:val="clear" w:color="000000" w:fill="FFFFFF"/>
            <w:noWrap w:val="0"/>
            <w:vAlign w:val="center"/>
          </w:tcPr>
          <w:p w14:paraId="6086D971">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continue"/>
            <w:shd w:val="clear" w:color="000000" w:fill="FFFFFF"/>
            <w:noWrap w:val="0"/>
            <w:vAlign w:val="center"/>
          </w:tcPr>
          <w:p w14:paraId="08E0701A">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6795" w:type="dxa"/>
            <w:shd w:val="clear" w:color="000000" w:fill="FFFFFF"/>
            <w:noWrap w:val="0"/>
            <w:vAlign w:val="center"/>
          </w:tcPr>
          <w:p w14:paraId="59D65E0D">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助浴过程中应有家属或其他监护人在场，注意观察残疾人身体情况。如遇残疾人身体不适，协助采取相应应急措施。</w:t>
            </w:r>
          </w:p>
        </w:tc>
      </w:tr>
      <w:tr w14:paraId="39B0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03" w:type="dxa"/>
            <w:vMerge w:val="continue"/>
            <w:shd w:val="clear" w:color="000000" w:fill="FFFFFF"/>
            <w:noWrap w:val="0"/>
            <w:vAlign w:val="center"/>
          </w:tcPr>
          <w:p w14:paraId="00D5B26A">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continue"/>
            <w:shd w:val="clear" w:color="000000" w:fill="FFFFFF"/>
            <w:noWrap w:val="0"/>
            <w:vAlign w:val="center"/>
          </w:tcPr>
          <w:p w14:paraId="2447D7BD">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6795" w:type="dxa"/>
            <w:shd w:val="clear" w:color="000000" w:fill="FFFFFF"/>
            <w:noWrap w:val="0"/>
            <w:vAlign w:val="center"/>
          </w:tcPr>
          <w:p w14:paraId="6ED06955">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外出助浴应选择就近有资质的公共洗浴场所，并注意途中安全。</w:t>
            </w:r>
          </w:p>
        </w:tc>
      </w:tr>
      <w:tr w14:paraId="66D5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3" w:type="dxa"/>
            <w:vMerge w:val="continue"/>
            <w:shd w:val="clear" w:color="000000" w:fill="FFFFFF"/>
            <w:noWrap w:val="0"/>
            <w:vAlign w:val="center"/>
          </w:tcPr>
          <w:p w14:paraId="03BC78F4">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restart"/>
            <w:shd w:val="clear" w:color="000000" w:fill="FFFFFF"/>
            <w:noWrap w:val="0"/>
            <w:vAlign w:val="center"/>
          </w:tcPr>
          <w:p w14:paraId="21D651BB">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助行服务</w:t>
            </w:r>
          </w:p>
        </w:tc>
        <w:tc>
          <w:tcPr>
            <w:tcW w:w="6795" w:type="dxa"/>
            <w:shd w:val="clear" w:color="000000" w:fill="FFFFFF"/>
            <w:noWrap w:val="0"/>
            <w:vAlign w:val="center"/>
          </w:tcPr>
          <w:p w14:paraId="74A466FF">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助行服务一般在残疾人住宅小区及周边区域内，应注意途中安全。</w:t>
            </w:r>
          </w:p>
        </w:tc>
      </w:tr>
      <w:tr w14:paraId="2D24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03" w:type="dxa"/>
            <w:vMerge w:val="continue"/>
            <w:shd w:val="clear" w:color="000000" w:fill="FFFFFF"/>
            <w:noWrap w:val="0"/>
            <w:vAlign w:val="center"/>
          </w:tcPr>
          <w:p w14:paraId="1B70A8E8">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continue"/>
            <w:shd w:val="clear" w:color="000000" w:fill="FFFFFF"/>
            <w:noWrap w:val="0"/>
            <w:vAlign w:val="center"/>
          </w:tcPr>
          <w:p w14:paraId="5ECAD3DC">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6795" w:type="dxa"/>
            <w:shd w:val="clear" w:color="000000" w:fill="FFFFFF"/>
            <w:noWrap w:val="0"/>
            <w:vAlign w:val="center"/>
          </w:tcPr>
          <w:p w14:paraId="5E8D6599">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使用助行器具时应按助行器具的使用说明进行操作。</w:t>
            </w:r>
          </w:p>
        </w:tc>
      </w:tr>
      <w:tr w14:paraId="6119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3" w:type="dxa"/>
            <w:vMerge w:val="continue"/>
            <w:shd w:val="clear" w:color="000000" w:fill="FFFFFF"/>
            <w:noWrap w:val="0"/>
            <w:vAlign w:val="center"/>
          </w:tcPr>
          <w:p w14:paraId="0681F88A">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restart"/>
            <w:shd w:val="clear" w:color="000000" w:fill="FFFFFF"/>
            <w:noWrap w:val="0"/>
            <w:vAlign w:val="center"/>
          </w:tcPr>
          <w:p w14:paraId="70DF3FED">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代办服务</w:t>
            </w:r>
          </w:p>
        </w:tc>
        <w:tc>
          <w:tcPr>
            <w:tcW w:w="6795" w:type="dxa"/>
            <w:shd w:val="clear" w:color="000000" w:fill="FFFFFF"/>
            <w:noWrap w:val="0"/>
            <w:vAlign w:val="center"/>
          </w:tcPr>
          <w:p w14:paraId="736F5F95">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代办服务范围一般为日常生活事务。</w:t>
            </w:r>
          </w:p>
        </w:tc>
      </w:tr>
      <w:tr w14:paraId="1AB2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3" w:type="dxa"/>
            <w:vMerge w:val="continue"/>
            <w:shd w:val="clear" w:color="000000" w:fill="FFFFFF"/>
            <w:noWrap w:val="0"/>
            <w:vAlign w:val="center"/>
          </w:tcPr>
          <w:p w14:paraId="65BEC64D">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continue"/>
            <w:shd w:val="clear" w:color="000000" w:fill="FFFFFF"/>
            <w:noWrap w:val="0"/>
            <w:vAlign w:val="center"/>
          </w:tcPr>
          <w:p w14:paraId="22D15658">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6795" w:type="dxa"/>
            <w:shd w:val="clear" w:color="000000" w:fill="FFFFFF"/>
            <w:noWrap w:val="0"/>
            <w:vAlign w:val="center"/>
          </w:tcPr>
          <w:p w14:paraId="7923400D">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代办服务时应当面清点钱物、证件、单据等。</w:t>
            </w:r>
          </w:p>
        </w:tc>
      </w:tr>
      <w:tr w14:paraId="6E0C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3" w:type="dxa"/>
            <w:vMerge w:val="continue"/>
            <w:shd w:val="clear" w:color="000000" w:fill="FFFFFF"/>
            <w:noWrap w:val="0"/>
            <w:vAlign w:val="center"/>
          </w:tcPr>
          <w:p w14:paraId="32E54DC5">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restart"/>
            <w:shd w:val="clear" w:color="000000" w:fill="FFFFFF"/>
            <w:noWrap w:val="0"/>
            <w:vAlign w:val="center"/>
          </w:tcPr>
          <w:p w14:paraId="286BC9C9">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维修服务</w:t>
            </w:r>
          </w:p>
        </w:tc>
        <w:tc>
          <w:tcPr>
            <w:tcW w:w="6795" w:type="dxa"/>
            <w:shd w:val="clear" w:color="000000" w:fill="FFFFFF"/>
            <w:noWrap w:val="0"/>
            <w:vAlign w:val="center"/>
          </w:tcPr>
          <w:p w14:paraId="73E0E194">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家电维修与保养。</w:t>
            </w:r>
          </w:p>
        </w:tc>
      </w:tr>
      <w:tr w14:paraId="3D96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3" w:type="dxa"/>
            <w:vMerge w:val="continue"/>
            <w:shd w:val="clear" w:color="000000" w:fill="FFFFFF"/>
            <w:noWrap w:val="0"/>
            <w:vAlign w:val="center"/>
          </w:tcPr>
          <w:p w14:paraId="51AD33D8">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continue"/>
            <w:shd w:val="clear" w:color="000000" w:fill="FFFFFF"/>
            <w:noWrap w:val="0"/>
            <w:vAlign w:val="center"/>
          </w:tcPr>
          <w:p w14:paraId="679B4069">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6795" w:type="dxa"/>
            <w:shd w:val="clear" w:color="000000" w:fill="FFFFFF"/>
            <w:noWrap w:val="0"/>
            <w:vAlign w:val="center"/>
          </w:tcPr>
          <w:p w14:paraId="326B474F">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家居供水排水系统维修与保养。</w:t>
            </w:r>
          </w:p>
        </w:tc>
      </w:tr>
      <w:tr w14:paraId="72D1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3" w:type="dxa"/>
            <w:vMerge w:val="continue"/>
            <w:shd w:val="clear" w:color="000000" w:fill="FFFFFF"/>
            <w:noWrap w:val="0"/>
            <w:vAlign w:val="center"/>
          </w:tcPr>
          <w:p w14:paraId="5D129AF0">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continue"/>
            <w:shd w:val="clear" w:color="000000" w:fill="FFFFFF"/>
            <w:noWrap w:val="0"/>
            <w:vAlign w:val="center"/>
          </w:tcPr>
          <w:p w14:paraId="0D07D368">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6795" w:type="dxa"/>
            <w:shd w:val="clear" w:color="000000" w:fill="FFFFFF"/>
            <w:noWrap w:val="0"/>
            <w:vAlign w:val="center"/>
          </w:tcPr>
          <w:p w14:paraId="12C414DC">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应按残疾人要求进行，维修后无安全隐患，能正常使用。</w:t>
            </w:r>
          </w:p>
        </w:tc>
      </w:tr>
      <w:tr w14:paraId="5811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3" w:type="dxa"/>
            <w:vMerge w:val="restart"/>
            <w:shd w:val="clear" w:color="000000" w:fill="FFFFFF"/>
            <w:noWrap w:val="0"/>
            <w:vAlign w:val="center"/>
          </w:tcPr>
          <w:p w14:paraId="4324DB8F">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康复</w:t>
            </w:r>
          </w:p>
          <w:p w14:paraId="557790BE">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护理</w:t>
            </w:r>
          </w:p>
          <w:p w14:paraId="780319C8">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w:t>
            </w:r>
          </w:p>
        </w:tc>
        <w:tc>
          <w:tcPr>
            <w:tcW w:w="1568" w:type="dxa"/>
            <w:vMerge w:val="restart"/>
            <w:shd w:val="clear" w:color="000000" w:fill="FFFFFF"/>
            <w:noWrap w:val="0"/>
            <w:vAlign w:val="center"/>
          </w:tcPr>
          <w:p w14:paraId="6D740842">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康复保健</w:t>
            </w:r>
          </w:p>
        </w:tc>
        <w:tc>
          <w:tcPr>
            <w:tcW w:w="6795" w:type="dxa"/>
            <w:shd w:val="clear" w:color="000000" w:fill="FFFFFF"/>
            <w:noWrap w:val="0"/>
            <w:vAlign w:val="center"/>
          </w:tcPr>
          <w:p w14:paraId="1E5C0BA3">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正确使用康复保健器材了解服务对象的康复需求。</w:t>
            </w:r>
          </w:p>
        </w:tc>
      </w:tr>
      <w:tr w14:paraId="5552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1203" w:type="dxa"/>
            <w:vMerge w:val="continue"/>
            <w:shd w:val="clear" w:color="000000" w:fill="FFFFFF"/>
            <w:noWrap w:val="0"/>
            <w:vAlign w:val="center"/>
          </w:tcPr>
          <w:p w14:paraId="6F713286">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1568" w:type="dxa"/>
            <w:vMerge w:val="continue"/>
            <w:shd w:val="clear" w:color="000000" w:fill="FFFFFF"/>
            <w:noWrap w:val="0"/>
            <w:vAlign w:val="center"/>
          </w:tcPr>
          <w:p w14:paraId="224EDCEF">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6795" w:type="dxa"/>
            <w:shd w:val="clear" w:color="000000" w:fill="FFFFFF"/>
            <w:noWrap w:val="0"/>
            <w:vAlign w:val="center"/>
          </w:tcPr>
          <w:p w14:paraId="13A30AEA">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由专业人员到服务对象家里指导和开展康复保健活动。</w:t>
            </w:r>
          </w:p>
        </w:tc>
      </w:tr>
      <w:tr w14:paraId="5CCC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3" w:type="dxa"/>
            <w:vMerge w:val="continue"/>
            <w:shd w:val="clear" w:color="000000" w:fill="FFFFFF"/>
            <w:noWrap w:val="0"/>
            <w:vAlign w:val="center"/>
          </w:tcPr>
          <w:p w14:paraId="5300C5DC">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1568" w:type="dxa"/>
            <w:vMerge w:val="restart"/>
            <w:shd w:val="clear" w:color="000000" w:fill="FFFFFF"/>
            <w:noWrap w:val="0"/>
            <w:vAlign w:val="center"/>
          </w:tcPr>
          <w:p w14:paraId="38E62863">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助医服务</w:t>
            </w:r>
          </w:p>
        </w:tc>
        <w:tc>
          <w:tcPr>
            <w:tcW w:w="6795" w:type="dxa"/>
            <w:shd w:val="clear" w:color="000000" w:fill="FFFFFF"/>
            <w:noWrap w:val="0"/>
            <w:vAlign w:val="center"/>
          </w:tcPr>
          <w:p w14:paraId="6E5AD2F3">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协助残疾人家属带残疾人到医院就诊，应注意途中安全。</w:t>
            </w:r>
          </w:p>
        </w:tc>
      </w:tr>
      <w:tr w14:paraId="1E2A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1203" w:type="dxa"/>
            <w:vMerge w:val="continue"/>
            <w:shd w:val="clear" w:color="000000" w:fill="FFFFFF"/>
            <w:noWrap w:val="0"/>
            <w:vAlign w:val="center"/>
          </w:tcPr>
          <w:p w14:paraId="342D0241">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1568" w:type="dxa"/>
            <w:vMerge w:val="continue"/>
            <w:shd w:val="clear" w:color="000000" w:fill="FFFFFF"/>
            <w:noWrap w:val="0"/>
            <w:vAlign w:val="center"/>
          </w:tcPr>
          <w:p w14:paraId="2E4E1C69">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6795" w:type="dxa"/>
            <w:shd w:val="clear" w:color="000000" w:fill="FFFFFF"/>
            <w:noWrap w:val="0"/>
            <w:vAlign w:val="center"/>
          </w:tcPr>
          <w:p w14:paraId="602DDBDA">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及时向残疾人家属或其他监护人反馈就诊情况。</w:t>
            </w:r>
          </w:p>
        </w:tc>
      </w:tr>
      <w:tr w14:paraId="78B2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jc w:val="center"/>
        </w:trPr>
        <w:tc>
          <w:tcPr>
            <w:tcW w:w="1203" w:type="dxa"/>
            <w:vMerge w:val="continue"/>
            <w:shd w:val="clear" w:color="000000" w:fill="FFFFFF"/>
            <w:noWrap w:val="0"/>
            <w:vAlign w:val="center"/>
          </w:tcPr>
          <w:p w14:paraId="6BA75FD8">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1568" w:type="dxa"/>
            <w:vMerge w:val="continue"/>
            <w:shd w:val="clear" w:color="000000" w:fill="FFFFFF"/>
            <w:noWrap w:val="0"/>
            <w:vAlign w:val="center"/>
          </w:tcPr>
          <w:p w14:paraId="5C5507D6">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6795" w:type="dxa"/>
            <w:shd w:val="clear" w:color="000000" w:fill="FFFFFF"/>
            <w:noWrap w:val="0"/>
            <w:vAlign w:val="center"/>
          </w:tcPr>
          <w:p w14:paraId="0AE15F0F">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代为配药的范围为诊断明确、病情稳定、治疗方案确定的常见病、慢性病。应做到当面清点钱款和药物等。</w:t>
            </w:r>
          </w:p>
        </w:tc>
      </w:tr>
      <w:tr w14:paraId="7AEF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203" w:type="dxa"/>
            <w:vMerge w:val="restart"/>
            <w:shd w:val="clear" w:color="000000" w:fill="FFFFFF"/>
            <w:noWrap w:val="0"/>
            <w:vAlign w:val="center"/>
          </w:tcPr>
          <w:p w14:paraId="3D4AEE8B">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文化</w:t>
            </w:r>
          </w:p>
          <w:p w14:paraId="42FB0FA4">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体育</w:t>
            </w:r>
          </w:p>
        </w:tc>
        <w:tc>
          <w:tcPr>
            <w:tcW w:w="1568" w:type="dxa"/>
            <w:shd w:val="clear" w:color="000000" w:fill="FFFFFF"/>
            <w:noWrap w:val="0"/>
            <w:vAlign w:val="center"/>
          </w:tcPr>
          <w:p w14:paraId="6A85E46D">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文化娱乐</w:t>
            </w:r>
          </w:p>
        </w:tc>
        <w:tc>
          <w:tcPr>
            <w:tcW w:w="6795" w:type="dxa"/>
            <w:shd w:val="clear" w:color="000000" w:fill="FFFFFF"/>
            <w:noWrap w:val="0"/>
            <w:vAlign w:val="center"/>
          </w:tcPr>
          <w:p w14:paraId="48F1B6D6">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组织开展各类文化娱乐活动、丰富残疾人精神文化生活。如，唱歌、集体庆生、才艺展示等集体活动。</w:t>
            </w:r>
          </w:p>
        </w:tc>
      </w:tr>
      <w:tr w14:paraId="6E6E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3" w:type="dxa"/>
            <w:vMerge w:val="continue"/>
            <w:shd w:val="clear" w:color="000000" w:fill="FFFFFF"/>
            <w:noWrap w:val="0"/>
            <w:vAlign w:val="center"/>
          </w:tcPr>
          <w:p w14:paraId="37475A6F">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1568" w:type="dxa"/>
            <w:shd w:val="clear" w:color="000000" w:fill="FFFFFF"/>
            <w:noWrap w:val="0"/>
            <w:vAlign w:val="center"/>
          </w:tcPr>
          <w:p w14:paraId="02968827">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体育活动</w:t>
            </w:r>
          </w:p>
        </w:tc>
        <w:tc>
          <w:tcPr>
            <w:tcW w:w="6795" w:type="dxa"/>
            <w:shd w:val="clear" w:color="000000" w:fill="FFFFFF"/>
            <w:noWrap w:val="0"/>
            <w:vAlign w:val="center"/>
          </w:tcPr>
          <w:p w14:paraId="5EC6A6AE">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开展适合服务群体的体育项目竞赛活动，激发残疾人拼搏进取、勇敢面对生活的信心。</w:t>
            </w:r>
          </w:p>
        </w:tc>
      </w:tr>
      <w:tr w14:paraId="036D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3" w:type="dxa"/>
            <w:vMerge w:val="continue"/>
            <w:shd w:val="clear" w:color="000000" w:fill="FFFFFF"/>
            <w:noWrap w:val="0"/>
            <w:vAlign w:val="center"/>
          </w:tcPr>
          <w:p w14:paraId="218233BC">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1568" w:type="dxa"/>
            <w:shd w:val="clear" w:color="000000" w:fill="FFFFFF"/>
            <w:noWrap w:val="0"/>
            <w:vAlign w:val="center"/>
          </w:tcPr>
          <w:p w14:paraId="375617C8">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社会融合</w:t>
            </w:r>
          </w:p>
        </w:tc>
        <w:tc>
          <w:tcPr>
            <w:tcW w:w="6795" w:type="dxa"/>
            <w:shd w:val="clear" w:color="000000" w:fill="FFFFFF"/>
            <w:noWrap w:val="0"/>
            <w:vAlign w:val="center"/>
          </w:tcPr>
          <w:p w14:paraId="70D4084C">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开展与残疾人日常生活、劳动、健康等相关的各种知识讲座，向残疾人宣讲国家重大政策，提高残疾人了解和适应社会能力。</w:t>
            </w:r>
          </w:p>
        </w:tc>
      </w:tr>
      <w:tr w14:paraId="63D1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03" w:type="dxa"/>
            <w:vMerge w:val="continue"/>
            <w:shd w:val="clear" w:color="000000" w:fill="FFFFFF"/>
            <w:noWrap w:val="0"/>
            <w:vAlign w:val="center"/>
          </w:tcPr>
          <w:p w14:paraId="5D901878">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1568" w:type="dxa"/>
            <w:shd w:val="clear" w:color="000000" w:fill="FFFFFF"/>
            <w:noWrap w:val="0"/>
            <w:vAlign w:val="center"/>
          </w:tcPr>
          <w:p w14:paraId="63C1A665">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外出游玩</w:t>
            </w:r>
          </w:p>
        </w:tc>
        <w:tc>
          <w:tcPr>
            <w:tcW w:w="6795" w:type="dxa"/>
            <w:shd w:val="clear" w:color="000000" w:fill="FFFFFF"/>
            <w:noWrap w:val="0"/>
            <w:vAlign w:val="center"/>
          </w:tcPr>
          <w:p w14:paraId="50FC3633">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定期组织残疾人游览周边旅游景点，帮助残疾人感受文明城市建设成果。</w:t>
            </w:r>
          </w:p>
        </w:tc>
      </w:tr>
      <w:tr w14:paraId="0A37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1203" w:type="dxa"/>
            <w:vMerge w:val="restart"/>
            <w:shd w:val="clear" w:color="000000" w:fill="FFFFFF"/>
            <w:noWrap w:val="0"/>
            <w:vAlign w:val="center"/>
          </w:tcPr>
          <w:p w14:paraId="5A275C82">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精神</w:t>
            </w:r>
          </w:p>
          <w:p w14:paraId="1046D691">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慰藉</w:t>
            </w:r>
          </w:p>
        </w:tc>
        <w:tc>
          <w:tcPr>
            <w:tcW w:w="1568" w:type="dxa"/>
            <w:vMerge w:val="restart"/>
            <w:shd w:val="clear" w:color="000000" w:fill="FFFFFF"/>
            <w:noWrap w:val="0"/>
            <w:vAlign w:val="center"/>
          </w:tcPr>
          <w:p w14:paraId="66784DC5">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心理健康</w:t>
            </w:r>
          </w:p>
        </w:tc>
        <w:tc>
          <w:tcPr>
            <w:tcW w:w="6795" w:type="dxa"/>
            <w:shd w:val="clear" w:color="000000" w:fill="FFFFFF"/>
            <w:noWrap w:val="0"/>
            <w:vAlign w:val="center"/>
          </w:tcPr>
          <w:p w14:paraId="30F8F316">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以舒缓心情、排遣孤独为原则。</w:t>
            </w:r>
          </w:p>
        </w:tc>
      </w:tr>
      <w:tr w14:paraId="5004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203" w:type="dxa"/>
            <w:vMerge w:val="continue"/>
            <w:shd w:val="clear" w:color="000000" w:fill="FFFFFF"/>
            <w:noWrap w:val="0"/>
            <w:vAlign w:val="center"/>
          </w:tcPr>
          <w:p w14:paraId="392F9100">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1568" w:type="dxa"/>
            <w:vMerge w:val="continue"/>
            <w:shd w:val="clear" w:color="000000" w:fill="FFFFFF"/>
            <w:noWrap w:val="0"/>
            <w:vAlign w:val="center"/>
          </w:tcPr>
          <w:p w14:paraId="7FAC4810">
            <w:pPr>
              <w:widowControl w:val="0"/>
              <w:spacing w:line="460" w:lineRule="exact"/>
              <w:ind w:firstLine="480"/>
              <w:jc w:val="center"/>
              <w:rPr>
                <w:rFonts w:hint="eastAsia" w:ascii="宋体" w:hAnsi="宋体" w:eastAsia="宋体" w:cs="宋体"/>
                <w:color w:val="auto"/>
                <w:kern w:val="0"/>
                <w:sz w:val="24"/>
                <w:szCs w:val="24"/>
                <w:highlight w:val="none"/>
                <w:lang w:val="en-US" w:eastAsia="zh-CN" w:bidi="ar-SA"/>
              </w:rPr>
            </w:pPr>
          </w:p>
        </w:tc>
        <w:tc>
          <w:tcPr>
            <w:tcW w:w="6795" w:type="dxa"/>
            <w:shd w:val="clear" w:color="000000" w:fill="FFFFFF"/>
            <w:noWrap w:val="0"/>
            <w:vAlign w:val="center"/>
          </w:tcPr>
          <w:p w14:paraId="471E2834">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相谈过程中应与残疾人保持良性互动，调节其心理状态，促进服务对象的心理健康。</w:t>
            </w:r>
          </w:p>
        </w:tc>
      </w:tr>
      <w:tr w14:paraId="6B6C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3" w:type="dxa"/>
            <w:shd w:val="clear" w:color="000000" w:fill="FFFFFF"/>
            <w:noWrap w:val="0"/>
            <w:vAlign w:val="center"/>
          </w:tcPr>
          <w:p w14:paraId="32DAB553">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辅助性</w:t>
            </w:r>
          </w:p>
          <w:p w14:paraId="0505A391">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就业</w:t>
            </w:r>
          </w:p>
        </w:tc>
        <w:tc>
          <w:tcPr>
            <w:tcW w:w="1568" w:type="dxa"/>
            <w:shd w:val="clear" w:color="000000" w:fill="FFFFFF"/>
            <w:noWrap w:val="0"/>
            <w:vAlign w:val="center"/>
          </w:tcPr>
          <w:p w14:paraId="31DF0011">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劳动服务</w:t>
            </w:r>
          </w:p>
        </w:tc>
        <w:tc>
          <w:tcPr>
            <w:tcW w:w="6795" w:type="dxa"/>
            <w:shd w:val="clear" w:color="000000" w:fill="FFFFFF"/>
            <w:noWrap w:val="0"/>
            <w:vAlign w:val="center"/>
          </w:tcPr>
          <w:p w14:paraId="375F4B5F">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借助“残疾人之家”为有一定劳动能力的残疾人提供辅助性就业培训、指导和劳动服务。</w:t>
            </w:r>
          </w:p>
        </w:tc>
      </w:tr>
      <w:tr w14:paraId="40FE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03" w:type="dxa"/>
            <w:vMerge w:val="restart"/>
            <w:shd w:val="clear" w:color="000000" w:fill="FFFFFF"/>
            <w:noWrap w:val="0"/>
            <w:vAlign w:val="center"/>
          </w:tcPr>
          <w:p w14:paraId="07FBF18D">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其他</w:t>
            </w:r>
          </w:p>
          <w:p w14:paraId="7903BB61">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w:t>
            </w:r>
          </w:p>
        </w:tc>
        <w:tc>
          <w:tcPr>
            <w:tcW w:w="1568" w:type="dxa"/>
            <w:shd w:val="clear" w:color="000000" w:fill="FFFFFF"/>
            <w:noWrap w:val="0"/>
            <w:vAlign w:val="center"/>
          </w:tcPr>
          <w:p w14:paraId="767E687F">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公益活动</w:t>
            </w:r>
          </w:p>
        </w:tc>
        <w:tc>
          <w:tcPr>
            <w:tcW w:w="6795" w:type="dxa"/>
            <w:shd w:val="clear" w:color="000000" w:fill="FFFFFF"/>
            <w:noWrap w:val="0"/>
            <w:vAlign w:val="center"/>
          </w:tcPr>
          <w:p w14:paraId="1F036DF3">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为有劳动能力的残疾人自愿参加公益活动提供服务。</w:t>
            </w:r>
          </w:p>
        </w:tc>
      </w:tr>
      <w:tr w14:paraId="7F44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3" w:type="dxa"/>
            <w:vMerge w:val="continue"/>
            <w:shd w:val="clear" w:color="000000" w:fill="FFFFFF"/>
            <w:noWrap w:val="0"/>
            <w:vAlign w:val="center"/>
          </w:tcPr>
          <w:p w14:paraId="4F1B08DC">
            <w:pPr>
              <w:widowControl w:val="0"/>
              <w:spacing w:line="460" w:lineRule="exact"/>
              <w:jc w:val="center"/>
              <w:rPr>
                <w:rFonts w:hint="eastAsia" w:ascii="宋体" w:hAnsi="宋体" w:eastAsia="宋体" w:cs="宋体"/>
                <w:color w:val="auto"/>
                <w:kern w:val="0"/>
                <w:sz w:val="24"/>
                <w:szCs w:val="24"/>
                <w:highlight w:val="none"/>
                <w:lang w:val="en-US" w:eastAsia="zh-CN" w:bidi="ar-SA"/>
              </w:rPr>
            </w:pPr>
          </w:p>
        </w:tc>
        <w:tc>
          <w:tcPr>
            <w:tcW w:w="1568" w:type="dxa"/>
            <w:shd w:val="clear" w:color="000000" w:fill="FFFFFF"/>
            <w:noWrap w:val="0"/>
            <w:vAlign w:val="center"/>
          </w:tcPr>
          <w:p w14:paraId="66F25934">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其他</w:t>
            </w:r>
          </w:p>
        </w:tc>
        <w:tc>
          <w:tcPr>
            <w:tcW w:w="6795" w:type="dxa"/>
            <w:shd w:val="clear" w:color="000000" w:fill="FFFFFF"/>
            <w:noWrap w:val="0"/>
            <w:vAlign w:val="center"/>
          </w:tcPr>
          <w:p w14:paraId="7C641B01">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残疾人其他正当需求，且符合居家照料服务目的和要求,没有安全隐患的服务项目。</w:t>
            </w:r>
          </w:p>
        </w:tc>
      </w:tr>
      <w:tr w14:paraId="66D6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03" w:type="dxa"/>
            <w:shd w:val="clear" w:color="000000" w:fill="FFFFFF"/>
            <w:noWrap w:val="0"/>
            <w:vAlign w:val="center"/>
          </w:tcPr>
          <w:p w14:paraId="525864F9">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定制服务</w:t>
            </w:r>
          </w:p>
        </w:tc>
        <w:tc>
          <w:tcPr>
            <w:tcW w:w="1568" w:type="dxa"/>
            <w:shd w:val="clear" w:color="000000" w:fill="FFFFFF"/>
            <w:noWrap w:val="0"/>
            <w:vAlign w:val="center"/>
          </w:tcPr>
          <w:p w14:paraId="5561645D">
            <w:pPr>
              <w:widowControl w:val="0"/>
              <w:spacing w:line="4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定制服务内容</w:t>
            </w:r>
          </w:p>
        </w:tc>
        <w:tc>
          <w:tcPr>
            <w:tcW w:w="6795" w:type="dxa"/>
            <w:shd w:val="clear" w:color="000000" w:fill="FFFFFF"/>
            <w:noWrap w:val="0"/>
            <w:vAlign w:val="center"/>
          </w:tcPr>
          <w:p w14:paraId="29D6433E">
            <w:pPr>
              <w:widowControl w:val="0"/>
              <w:spacing w:line="46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根据服务对象实际需求提供相关的定制服务</w:t>
            </w:r>
          </w:p>
        </w:tc>
      </w:tr>
    </w:tbl>
    <w:p w14:paraId="40073EFC">
      <w:pPr>
        <w:widowControl w:val="0"/>
        <w:spacing w:line="460" w:lineRule="exact"/>
        <w:ind w:firstLine="24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热线电话的设置</w:t>
      </w:r>
    </w:p>
    <w:p w14:paraId="3CDA8FB9">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配置7*24小时热线电话，负责残疾人的电话接听、服务回访及政策咨询。</w:t>
      </w:r>
    </w:p>
    <w:p w14:paraId="7FCE7628">
      <w:pPr>
        <w:widowControl w:val="0"/>
        <w:numPr>
          <w:ilvl w:val="0"/>
          <w:numId w:val="0"/>
        </w:numPr>
        <w:spacing w:line="440" w:lineRule="exact"/>
        <w:ind w:firstLine="482" w:firstLineChars="2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七、相关要求：</w:t>
      </w:r>
    </w:p>
    <w:p w14:paraId="46EAE669">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1.乙方应严格执行《关于印发宿迁市残疾人托养服务规范的通知》（宿残联发【2022】17 号）要求，加强人员配备，提升服务水平及质量。</w:t>
      </w:r>
    </w:p>
    <w:p w14:paraId="79ECD8BC">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2.制定明确的切实可行的残疾人居家托养服务预案，明确服务内容，做到管理正规化、服务规范化、考核标准化。</w:t>
      </w:r>
    </w:p>
    <w:p w14:paraId="79498BBF">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3.加强监管，定期进行检查，建立服务对象信息数据库和服务台账（包含服务内容、时间、地点、人员、落实情况、满意度调查等）。</w:t>
      </w:r>
    </w:p>
    <w:p w14:paraId="5841D272">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4.应急和安全保障措施：要有应急预案，在服务过程中遇到服务对象突发昏倒、摔倒等紧急情况下有较好的应变能力，及时拨打120急救电话，保留现场的录音、照片或视频等证据作为必要的物证资料。</w:t>
      </w:r>
    </w:p>
    <w:p w14:paraId="02DFA829">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5.制定评估方案，对残疾人的身体状况、居住状况、居家托养服务需求意愿等进行调查评估或评判，形成评估意见，为提供个性化服务提供依据。</w:t>
      </w:r>
    </w:p>
    <w:p w14:paraId="5372BF1B">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6.服务团队配备要求：</w:t>
      </w:r>
    </w:p>
    <w:p w14:paraId="651D2EE2">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（1）项目负责人个人能力是项目的实施服务质量好坏的关键，故应配备具备相关专业资格并具有丰富的类似服务经验的专业管理人员；</w:t>
      </w:r>
    </w:p>
    <w:p w14:paraId="79CBE756">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（2）为满足残疾人托养服务需要应配备专业服务团队，包括针对本项目配备社工团队、健康管理团队、经验丰富的养残护理员护工团队等，相关人员具有对应的专业资格证书等；</w:t>
      </w:r>
    </w:p>
    <w:p w14:paraId="78C9015A">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（3）服务人员必须持有健康证明，且具备相应的从业能力，康复、精神慰藉等专业人士需具备专业资格证明。</w:t>
      </w:r>
    </w:p>
    <w:p w14:paraId="76170649">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7.与服务对象签订服务协议，为残疾人提供的服务完成率达100%。</w:t>
      </w:r>
    </w:p>
    <w:p w14:paraId="2485F835">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8.供应商须安排1名工作人员协调配合沭阳县残疾人联合会做好居家托养管理服务、平台管理、人员调度等工作，工作人员服务的工作时间符合采购人安排。</w:t>
      </w:r>
    </w:p>
    <w:p w14:paraId="74991FDC">
      <w:pPr>
        <w:widowControl w:val="0"/>
        <w:numPr>
          <w:ilvl w:val="0"/>
          <w:numId w:val="0"/>
        </w:numPr>
        <w:spacing w:line="440" w:lineRule="exact"/>
        <w:ind w:firstLine="482" w:firstLineChars="2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八、 其他需求：</w:t>
      </w:r>
    </w:p>
    <w:p w14:paraId="13F7BCBE">
      <w:pPr>
        <w:widowControl w:val="0"/>
        <w:spacing w:line="440" w:lineRule="exact"/>
        <w:ind w:firstLine="241"/>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（一）项目实施方案编制相关内容</w:t>
      </w:r>
    </w:p>
    <w:p w14:paraId="44E341B9">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1、管理制度：供应商应具有全面的管理制度，主要包括工作台账、组织架构、财务制度等方面内容；台账管理完善、组织架构合理、财务制度健全。能够通过高效的内部制度完成项目相关工作内容。</w:t>
      </w:r>
    </w:p>
    <w:p w14:paraId="79166040">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2、总体实施方案：各供应商应提供总体实施方案，包括但不限于发展规划与目标定位、人员配备、岗位职责、服务实施、服务团队的培训计划、内部考核机制、服务差错报告、服务质量考评方案等内容。</w:t>
      </w:r>
    </w:p>
    <w:p w14:paraId="05FC1B2C">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线上服务方案：制定明确的切实可行的残疾人居家托养线上服务方案、包括但不限于呼叫坐席服务开展、坐席人员管理、派单、回访管理等线上服务，方案内容科学合理、针对性强，内容覆盖范围广等内容，服务方案制度详细，管理规范，指标、体系定位准确符合实际，指标科学可行操作性强，各项措施符合实际且操作可行有效。</w:t>
      </w:r>
    </w:p>
    <w:p w14:paraId="0C4A82FB">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线下服务方案：制定明确的切实可行的残疾人居家托养线下服务方案，包括但不限于“1、结合残养服务宗旨和服务理念，制定符合要求居家上门服务发展规划与目标的方案；2、针对服务对象，提供残疾人能力评估方案； 3、针对不同类别的残疾人提供针对性、个性化的服务方案；4、有详细的残养医疗护理、健康管理计划，提供完备的医养结合服务方案；5、有齐全的管制制度、完善的保障制度。”</w:t>
      </w:r>
    </w:p>
    <w:p w14:paraId="78E0FFC0">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5、应急预案： 供应商针对本项目制定的突发事件应急预案（内容包括但不限于在服务过程中突发公共卫生事件、灾害事故、紧急医疗、安全事故等），保证在日常运行及突发事件中正常运行的应急措施的科学合理，预案应详细完整，内容全面细致，要点突出、应急保障度高。在服务过程中遇到服务对象突发昏倒、摔倒等紧急情况下有较好的应变能力，及时拨打120急救电话，保留现场的录音、照片或视频等证据作为必要的物证资料。</w:t>
      </w:r>
    </w:p>
    <w:p w14:paraId="1BCCFBBE">
      <w:pPr>
        <w:widowControl w:val="0"/>
        <w:spacing w:line="440" w:lineRule="exact"/>
        <w:ind w:firstLine="241"/>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（二）其他</w:t>
      </w:r>
    </w:p>
    <w:p w14:paraId="73CB0B06">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1、增值服务：为提高抗风险能力，供应商为服务对象提供意外死亡和意外医疗费保险服务等增值服务。</w:t>
      </w:r>
    </w:p>
    <w:p w14:paraId="78476187">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2、医养结合服务供给能力：供应商应具有健全的医养结合服务体系，与二级及以上医院签订合作协议。</w:t>
      </w:r>
    </w:p>
    <w:p w14:paraId="20708320">
      <w:pPr>
        <w:widowControl w:val="0"/>
        <w:numPr>
          <w:ilvl w:val="0"/>
          <w:numId w:val="0"/>
        </w:numPr>
        <w:spacing w:line="440" w:lineRule="exact"/>
        <w:ind w:firstLine="482" w:firstLineChars="2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九、其他约定：</w:t>
      </w:r>
    </w:p>
    <w:p w14:paraId="66445552">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1、中标供应商不得外泄服务对象的个人所有信息。</w:t>
      </w:r>
    </w:p>
    <w:p w14:paraId="1A7A33EB">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2、项目在实行期间服务方和被服务方发生的所有安全事故、纠纷归中标供应商负责。</w:t>
      </w:r>
    </w:p>
    <w:p w14:paraId="55E90D58">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3、在项目实施过程中，采购人提供必要的指导、协调等服务，以及检查、监督项目的实施。</w:t>
      </w:r>
    </w:p>
    <w:p w14:paraId="44AE52C6">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4、采购人与中标供应商不发生任何劳动和雇佣关系，派驻人员由中标供应商自行管理，并应遵守安全操作规章制度，若发生人身伤害等工伤事故，由中标供应商自负，与采购人无涉。</w:t>
      </w:r>
    </w:p>
    <w:p w14:paraId="1609E65A">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5、若中标供应商在服务管理期间，违反下列规定将被解除服务合同。</w:t>
      </w:r>
    </w:p>
    <w:p w14:paraId="3C6A2DB6">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（1）严禁将本项目转包他人：须提供合同部分或全部不可转包承诺书，如发现中标单位私自转包即刻取消其中标资格；</w:t>
      </w:r>
    </w:p>
    <w:p w14:paraId="5E5CAD88">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（2）出现重大事故。</w:t>
      </w:r>
    </w:p>
    <w:p w14:paraId="77137B39">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6、如中标供应商对服务缺陷不予更正，采购人有权另请其他单位更正，所发生的费用由中标供应商承担。</w:t>
      </w:r>
    </w:p>
    <w:p w14:paraId="61DFFD0C">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7、确因采购人工作检查需要，中标供应商应免费无条件配合采购人完成一些突击工作。如：安排服务人员（内部）临时加班。</w:t>
      </w:r>
    </w:p>
    <w:p w14:paraId="5B193C31">
      <w:pPr>
        <w:widowControl w:val="0"/>
        <w:spacing w:line="46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8、中标供应商管理如不符合或达不到采购人的要求，采购方书面告知中标供应商整改；若经整改后仍不能达到采购方要求，采购人有权终止合同，并无需支付因终止合同而产生的相关费用。</w:t>
      </w:r>
    </w:p>
    <w:p w14:paraId="27A73618">
      <w:pPr>
        <w:widowControl w:val="0"/>
        <w:numPr>
          <w:ilvl w:val="0"/>
          <w:numId w:val="0"/>
        </w:numPr>
        <w:spacing w:line="440" w:lineRule="exact"/>
        <w:ind w:firstLine="723" w:firstLineChars="3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十、考核评估：</w:t>
      </w:r>
    </w:p>
    <w:p w14:paraId="43DD5338">
      <w:pPr>
        <w:widowControl w:val="0"/>
        <w:spacing w:line="440" w:lineRule="exact"/>
        <w:ind w:left="240" w:firstLine="48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参照“关于印发《宿迁市残疾人居家托养考核评估和资金管理办法》的通知”宿残联发[2021]38号文有关要求执行，后期采购人可根据实施情况及上级部门要求更新考核评估办法。</w:t>
      </w:r>
    </w:p>
    <w:p w14:paraId="74553D2B">
      <w:pPr>
        <w:widowControl w:val="0"/>
        <w:numPr>
          <w:ilvl w:val="0"/>
          <w:numId w:val="0"/>
        </w:numPr>
        <w:spacing w:line="440" w:lineRule="exact"/>
        <w:ind w:firstLine="482" w:firstLineChars="2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十一、付款方式：</w:t>
      </w:r>
    </w:p>
    <w:p w14:paraId="3D3FD336">
      <w:pPr>
        <w:keepNext w:val="0"/>
        <w:keepLines w:val="0"/>
        <w:pageBreakBefore w:val="0"/>
        <w:widowControl w:val="0"/>
        <w:spacing w:line="480" w:lineRule="exact"/>
        <w:ind w:left="0" w:right="0" w:firstLine="476"/>
        <w:rPr>
          <w:rFonts w:hint="eastAsia" w:ascii="宋体" w:hAnsi="宋体" w:eastAsia="宋体" w:cs="宋体"/>
          <w:color w:val="auto"/>
          <w:spacing w:val="-1"/>
          <w:kern w:val="0"/>
          <w:sz w:val="24"/>
          <w:szCs w:val="24"/>
          <w:highlight w:val="none"/>
          <w:lang w:val="en-US" w:eastAsia="zh-CN"/>
        </w:rPr>
      </w:pPr>
      <w:bookmarkStart w:id="0" w:name="_Hlk160797683"/>
      <w:r>
        <w:rPr>
          <w:rFonts w:hint="eastAsia" w:ascii="宋体" w:hAnsi="宋体" w:eastAsia="宋体" w:cs="宋体"/>
          <w:color w:val="auto"/>
          <w:spacing w:val="-1"/>
          <w:kern w:val="0"/>
          <w:sz w:val="24"/>
          <w:szCs w:val="24"/>
          <w:highlight w:val="none"/>
          <w:lang w:val="en-US" w:eastAsia="zh-CN"/>
        </w:rPr>
        <w:t xml:space="preserve">预付款：合同签订后，且在收到供应商发票后10个工作日内，支付合同价款10%的预付款；进度款：采购人对供应商项目开展情况每季度进行一次考核验收及绩效评价，依据考核结果与供应商结算服务经费。  </w:t>
      </w:r>
    </w:p>
    <w:p w14:paraId="2D8DE3CF">
      <w:pPr>
        <w:keepNext w:val="0"/>
        <w:keepLines w:val="0"/>
        <w:pageBreakBefore w:val="0"/>
        <w:widowControl w:val="0"/>
        <w:spacing w:line="480" w:lineRule="exact"/>
        <w:ind w:left="0" w:right="0" w:firstLine="476"/>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注：在签订合同时，供应商明确表示无需预付款或者主动要求降低预付款比例的，采购人可不适用前述规定；可采用数字人民币方式支付。</w:t>
      </w:r>
    </w:p>
    <w:p w14:paraId="39EA9752">
      <w:pPr>
        <w:keepNext w:val="0"/>
        <w:keepLines w:val="0"/>
        <w:pageBreakBefore w:val="0"/>
        <w:widowControl w:val="0"/>
        <w:spacing w:line="480" w:lineRule="exact"/>
        <w:ind w:left="0" w:right="0" w:firstLine="476"/>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结算方式：每月200元/人，每人每月服务次数不少于3次，每次不低于1小时。未达到3次的按照每月200元/人*三分之一*次数结算。</w:t>
      </w:r>
    </w:p>
    <w:p w14:paraId="313011D7">
      <w:pPr>
        <w:keepNext w:val="0"/>
        <w:keepLines w:val="0"/>
        <w:pageBreakBefore w:val="0"/>
        <w:widowControl w:val="0"/>
        <w:spacing w:line="480" w:lineRule="exact"/>
        <w:ind w:left="0" w:right="0" w:firstLine="476"/>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注：1、原则上：每人每月服务次数不少于3次，每次不低于1小时，累计每月每人总体服务时长不低于3小时。</w:t>
      </w:r>
    </w:p>
    <w:p w14:paraId="5DFB65C0">
      <w:pPr>
        <w:keepNext w:val="0"/>
        <w:keepLines w:val="0"/>
        <w:pageBreakBefore w:val="0"/>
        <w:widowControl w:val="0"/>
        <w:spacing w:line="480" w:lineRule="exact"/>
        <w:ind w:left="0" w:right="0" w:firstLine="476"/>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2、暂按600人为基数，最终结算以实际人数、服务项目次数和服务内容为准。</w:t>
      </w:r>
    </w:p>
    <w:p w14:paraId="737E9C55">
      <w:pPr>
        <w:keepNext w:val="0"/>
        <w:keepLines w:val="0"/>
        <w:pageBreakBefore w:val="0"/>
        <w:widowControl w:val="0"/>
        <w:spacing w:line="480" w:lineRule="exact"/>
        <w:ind w:left="0" w:right="0" w:firstLine="476"/>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3、服务内容可由服务对象结合自身实际需求自行选择具体服务项目，供应商按照服务对象需求提供具体服务。</w:t>
      </w:r>
    </w:p>
    <w:p w14:paraId="766A2706">
      <w:pPr>
        <w:keepNext w:val="0"/>
        <w:keepLines w:val="0"/>
        <w:pageBreakBefore w:val="0"/>
        <w:spacing w:line="560" w:lineRule="exact"/>
        <w:ind w:left="0" w:firstLine="482"/>
        <w:outlineLvl w:val="1"/>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十二、验收要求及标准</w:t>
      </w:r>
    </w:p>
    <w:p w14:paraId="441DAB61">
      <w:pPr>
        <w:keepNext w:val="0"/>
        <w:keepLines w:val="0"/>
        <w:pageBreakBefore w:val="0"/>
        <w:spacing w:line="560" w:lineRule="exact"/>
        <w:ind w:left="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1、验收时间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在乙方提交项目资料以及</w:t>
      </w:r>
      <w:r>
        <w:rPr>
          <w:rFonts w:hint="eastAsia" w:ascii="宋体" w:hAnsi="宋体" w:eastAsia="宋体" w:cs="宋体"/>
          <w:color w:val="auto"/>
          <w:kern w:val="0"/>
          <w:sz w:val="24"/>
          <w:szCs w:val="24"/>
          <w:highlight w:val="none"/>
          <w:lang w:val="en-US" w:eastAsia="zh-CN" w:bidi="ar-SA"/>
        </w:rPr>
        <w:t>验收申请单后3个工作日内甲方组织验收。</w:t>
      </w:r>
    </w:p>
    <w:p w14:paraId="473D8E46">
      <w:pPr>
        <w:keepNext w:val="0"/>
        <w:keepLines w:val="0"/>
        <w:pageBreakBefore w:val="0"/>
        <w:spacing w:line="560" w:lineRule="exact"/>
        <w:ind w:left="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2、验收标准及依据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参照“关于印发《宿迁市残疾人居家托养考核评估和资金管理办法》的通知 ”宿残联发[2021]38号</w:t>
      </w:r>
      <w:r>
        <w:rPr>
          <w:rFonts w:hint="eastAsia" w:ascii="宋体" w:hAnsi="宋体" w:eastAsia="宋体" w:cs="宋体"/>
          <w:color w:val="auto"/>
          <w:kern w:val="0"/>
          <w:sz w:val="24"/>
          <w:szCs w:val="24"/>
          <w:highlight w:val="none"/>
        </w:rPr>
        <w:t>。</w:t>
      </w:r>
    </w:p>
    <w:p w14:paraId="57A4AF26">
      <w:pPr>
        <w:keepNext w:val="0"/>
        <w:keepLines w:val="0"/>
        <w:pageBreakBefore w:val="0"/>
        <w:widowControl w:val="0"/>
        <w:spacing w:line="560" w:lineRule="exact"/>
        <w:ind w:left="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bidi="ar-SA"/>
        </w:rPr>
        <w:t>验收程序、内容及履约：按照招标文件、投标文件、</w:t>
      </w:r>
      <w:r>
        <w:rPr>
          <w:rFonts w:hint="eastAsia" w:ascii="宋体" w:hAnsi="宋体" w:eastAsia="Times New Roman" w:cs="宋体"/>
          <w:color w:val="auto"/>
          <w:kern w:val="0"/>
          <w:sz w:val="24"/>
          <w:szCs w:val="24"/>
          <w:highlight w:val="none"/>
          <w:lang w:val="en-US" w:eastAsia="zh-CN"/>
        </w:rPr>
        <w:t>宿残联发[2021]38号</w:t>
      </w:r>
      <w:r>
        <w:rPr>
          <w:rFonts w:hint="eastAsia" w:ascii="宋体" w:hAnsi="宋体" w:eastAsia="宋体" w:cs="宋体"/>
          <w:color w:val="auto"/>
          <w:kern w:val="0"/>
          <w:sz w:val="24"/>
          <w:szCs w:val="24"/>
          <w:highlight w:val="none"/>
          <w:lang w:val="en-US" w:eastAsia="zh-CN" w:bidi="ar-SA"/>
        </w:rPr>
        <w:t>对乙方履约情况进行验收。验收结束后，验收单由验收双方共同签署。履约验收的各项资料存档备查。</w:t>
      </w:r>
    </w:p>
    <w:p w14:paraId="0B95BA0F">
      <w:pPr>
        <w:keepNext w:val="0"/>
        <w:keepLines w:val="0"/>
        <w:pageBreakBefore w:val="0"/>
        <w:spacing w:line="560" w:lineRule="exact"/>
        <w:ind w:left="0"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提供虚假材料或虚假承诺骗取政府补贴的,依法追究有关人员责任。</w:t>
      </w:r>
    </w:p>
    <w:p w14:paraId="5B7006A3">
      <w:pPr>
        <w:keepNext w:val="0"/>
        <w:keepLines w:val="0"/>
        <w:pageBreakBefore w:val="0"/>
        <w:spacing w:line="560" w:lineRule="exact"/>
        <w:ind w:left="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5、合同履约过程中，如有新政策，乙方</w:t>
      </w:r>
      <w:r>
        <w:rPr>
          <w:rFonts w:hint="eastAsia" w:ascii="宋体" w:hAnsi="宋体" w:eastAsia="宋体" w:cs="宋体"/>
          <w:color w:val="auto"/>
          <w:kern w:val="0"/>
          <w:sz w:val="24"/>
          <w:szCs w:val="24"/>
          <w:highlight w:val="none"/>
        </w:rPr>
        <w:t>须遵照</w:t>
      </w:r>
      <w:r>
        <w:rPr>
          <w:rFonts w:hint="eastAsia" w:ascii="宋体" w:hAnsi="宋体" w:eastAsia="宋体" w:cs="宋体"/>
          <w:color w:val="auto"/>
          <w:kern w:val="0"/>
          <w:sz w:val="24"/>
          <w:szCs w:val="24"/>
          <w:highlight w:val="none"/>
          <w:lang w:val="en-US" w:eastAsia="zh-CN"/>
        </w:rPr>
        <w:t>新政策</w:t>
      </w:r>
      <w:r>
        <w:rPr>
          <w:rFonts w:hint="eastAsia" w:ascii="宋体" w:hAnsi="宋体" w:eastAsia="宋体" w:cs="宋体"/>
          <w:color w:val="auto"/>
          <w:kern w:val="0"/>
          <w:sz w:val="24"/>
          <w:szCs w:val="24"/>
          <w:highlight w:val="none"/>
        </w:rPr>
        <w:t>执行。</w:t>
      </w:r>
    </w:p>
    <w:p w14:paraId="23D46151">
      <w:pPr>
        <w:keepNext w:val="0"/>
        <w:keepLines w:val="0"/>
        <w:pageBreakBefore w:val="0"/>
        <w:widowControl w:val="0"/>
        <w:spacing w:line="480" w:lineRule="exact"/>
        <w:ind w:left="0" w:right="0" w:firstLine="476"/>
        <w:rPr>
          <w:rFonts w:hint="eastAsia" w:ascii="宋体" w:hAnsi="宋体" w:eastAsia="宋体" w:cs="宋体"/>
          <w:color w:val="auto"/>
          <w:spacing w:val="-1"/>
          <w:kern w:val="0"/>
          <w:sz w:val="24"/>
          <w:szCs w:val="24"/>
          <w:highlight w:val="none"/>
          <w:lang w:val="en-US" w:eastAsia="zh-CN"/>
        </w:rPr>
      </w:pPr>
    </w:p>
    <w:bookmarkEnd w:id="0"/>
    <w:p w14:paraId="5C68E9D4">
      <w:pPr>
        <w:rPr>
          <w:color w:val="auto"/>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5221C"/>
    <w:rsid w:val="5C35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2025-09-15T00:43:00Z</dcterms:created>
  <dc:creator>╰某年某月某天某人</dc:creator>
  <cp:lastModifiedBy>╰某年某月某天某人</cp:lastModifiedBy>
  <dcterms:modified xsi:type="dcterms:W3CDTF">2025-09-15T00:43:53Z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883A5E305CB940DA9A83D9C17E78135D_11</vt:lpwstr>
  </property>
  <property fmtid="{D5CDD505-2E9C-101B-9397-08002B2CF9AE}" pid="4" name="KSOTemplateDocerSaveRecord">
    <vt:lpwstr>eyJoZGlkIjoiNjJhYzQ2ZmZmMzcwOWZlNzJlY2Y2OTgzM2UyYTkyNDAiLCJ1c2VySWQiOiIxMDE5ODkxMTgzIn0=</vt:lpwstr>
  </property>
</Properties>
</file>